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08406</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rPr>
        <w:t>Aug</w:t>
      </w:r>
      <w:r>
        <w:rPr>
          <w:rFonts w:ascii="Arial" w:hAnsi="Arial" w:eastAsia="宋体"/>
          <w:b/>
          <w:bCs/>
          <w:sz w:val="24"/>
          <w:lang w:val="en-GB"/>
        </w:rPr>
        <w:t xml:space="preserve"> </w:t>
      </w:r>
      <w:r>
        <w:rPr>
          <w:rFonts w:hint="eastAsia" w:ascii="Arial" w:hAnsi="Arial" w:eastAsia="宋体"/>
          <w:b/>
          <w:bCs/>
          <w:sz w:val="24"/>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26</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conditional reconfiguration release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6.2.3.2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 xml:space="preserve">At last meeting, RAN2 agreed to </w:t>
      </w:r>
      <w:r>
        <w:rPr>
          <w:szCs w:val="21"/>
        </w:rPr>
        <w:t>support</w:t>
      </w:r>
      <w:r>
        <w:rPr>
          <w:rFonts w:hint="eastAsia"/>
          <w:szCs w:val="21"/>
        </w:rPr>
        <w:t xml:space="preserve"> the coexistence of CHO and CPAC, and confirmed the following work assumptions</w:t>
      </w:r>
      <w:r>
        <w:rPr>
          <w:szCs w:val="21"/>
        </w:rPr>
        <w:t xml:space="preserve"> [1]</w:t>
      </w:r>
      <w:r>
        <w:rPr>
          <w:rFonts w:hint="eastAsia"/>
          <w:szCs w:val="21"/>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widowControl/>
              <w:numPr>
                <w:ilvl w:val="0"/>
                <w:numId w:val="4"/>
              </w:numPr>
              <w:tabs>
                <w:tab w:val="left" w:pos="1619"/>
              </w:tabs>
              <w:spacing w:before="60" w:after="100" w:afterAutospacing="1" w:line="240" w:lineRule="auto"/>
              <w:jc w:val="left"/>
              <w:rPr>
                <w:rFonts w:ascii="Arial" w:hAnsi="Arial" w:eastAsia="MS Mincho"/>
                <w:b/>
                <w:bCs/>
                <w:kern w:val="0"/>
                <w:sz w:val="20"/>
                <w:szCs w:val="20"/>
              </w:rPr>
            </w:pPr>
            <w:r>
              <w:rPr>
                <w:rFonts w:ascii="Arial" w:hAnsi="Arial" w:eastAsia="MS Mincho"/>
                <w:b/>
                <w:bCs/>
                <w:kern w:val="0"/>
                <w:sz w:val="20"/>
                <w:szCs w:val="20"/>
              </w:rPr>
              <w:t xml:space="preserve">Confirm the working assumption and agree the following: when one conditional reconfiguration is executed, the other conditional reconfigurations are released.  </w:t>
            </w:r>
          </w:p>
          <w:p>
            <w:pPr>
              <w:widowControl/>
              <w:numPr>
                <w:ilvl w:val="0"/>
                <w:numId w:val="4"/>
              </w:numPr>
              <w:spacing w:before="60" w:after="100" w:afterAutospacing="1" w:line="240" w:lineRule="auto"/>
              <w:jc w:val="left"/>
              <w:rPr>
                <w:rFonts w:ascii="Arial" w:hAnsi="Arial" w:eastAsia="MS Mincho"/>
                <w:b/>
                <w:bCs/>
                <w:kern w:val="0"/>
                <w:sz w:val="20"/>
                <w:szCs w:val="20"/>
              </w:rPr>
            </w:pPr>
            <w:r>
              <w:rPr>
                <w:rFonts w:ascii="Arial" w:hAnsi="Arial" w:eastAsia="MS Mincho"/>
                <w:b/>
                <w:bCs/>
                <w:kern w:val="0"/>
                <w:sz w:val="20"/>
                <w:szCs w:val="20"/>
              </w:rPr>
              <w:t>Confirm the working assumption and agree the following: MN indicates (via CG-ConfigInfo) how many conditional reconfigurations Source SN is allowed to initiate.</w:t>
            </w:r>
          </w:p>
        </w:tc>
      </w:tr>
    </w:tbl>
    <w:p>
      <w:pPr>
        <w:spacing w:before="120" w:after="0"/>
        <w:rPr>
          <w:szCs w:val="21"/>
        </w:rPr>
      </w:pPr>
      <w:r>
        <w:rPr>
          <w:rFonts w:hint="eastAsia"/>
          <w:szCs w:val="21"/>
        </w:rPr>
        <w:t>In this contribution, we discussed the conditional reconfiguration release upon one conditional reconfiguration is executed</w:t>
      </w:r>
      <w:r>
        <w:rPr>
          <w:rFonts w:hint="eastAsia"/>
          <w:szCs w:val="21"/>
          <w:lang w:val="en-US" w:eastAsia="zh-CN"/>
        </w:rPr>
        <w:t xml:space="preserve"> in LTE</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spacing w:before="120"/>
      </w:pPr>
      <w:r>
        <w:t xml:space="preserve">In current RRC specs, two different UE variables are defined to store the conditional reconfiguration. The </w:t>
      </w:r>
      <w:r>
        <w:rPr>
          <w:i/>
        </w:rPr>
        <w:t>VarConditionalReconfig</w:t>
      </w:r>
      <w:r>
        <w:t xml:space="preserve"> as specified in TS 38.331 is used to store the conditional reconfiguration for CHO in NR SA/NR-DC/NE-DC, CPA or inter-SN CPC in NR-DC, or intra-SN CPC without MN involvement in NR-DC or EN-DC. The </w:t>
      </w:r>
      <w:r>
        <w:rPr>
          <w:i/>
        </w:rPr>
        <w:t>VarConditionalReconfiguration</w:t>
      </w:r>
      <w:r>
        <w:t xml:space="preserve"> as specified in TS 36.331 is used to store the conditional reconfiguration for CHO in LTE SA or EN-DC, CPA or inter-SN CPC in EN-DC. </w:t>
      </w:r>
    </w:p>
    <w:p>
      <w:pPr>
        <w:spacing w:before="120"/>
        <w:rPr>
          <w:i/>
        </w:rPr>
      </w:pPr>
      <w:r>
        <w:rPr>
          <w:i/>
        </w:rPr>
        <w:t xml:space="preserve">Observation 1: The VarConditionalReconfig specified in TS 38.331 is used to store the conditional reconfiguration for CHO in NR SA/NR-DC/NE-DC, CPA or inter-SN CPC in NR-DC, or intra-SN CPC without MN involvement in NR-DC/EN-DC. </w:t>
      </w:r>
    </w:p>
    <w:p>
      <w:pPr>
        <w:spacing w:before="120"/>
        <w:rPr>
          <w:i/>
        </w:rPr>
      </w:pPr>
      <w:r>
        <w:rPr>
          <w:i/>
        </w:rPr>
        <w:t>Observation 2: The VarConditionalReconfiguration specified in TS 36.331 is used to store the conditional reconfiguration for CHO in LTE SA/EN-DC, CPA or inter-SN CPC in EN-DC.</w:t>
      </w:r>
    </w:p>
    <w:p>
      <w:pPr>
        <w:spacing w:before="120"/>
      </w:pPr>
      <w:r>
        <w:t>In case that any different types of conditional reconfigurations are configured for the UE simultaneously, when one conditional reconfiguration is executed, the other conditional reconfigurations are released. Thus, the conditional reconfiguration release may involve with both two UE variables defined in TS 38.331 and TS 36.331.</w:t>
      </w:r>
    </w:p>
    <w:p>
      <w:pPr>
        <w:spacing w:before="120"/>
      </w:pPr>
      <w:r>
        <w:t>In the current NR RRC spec [2], the conditional reconfiguration release has been captured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85"/>
              <w:rPr>
                <w:rFonts w:eastAsia="MS Mincho"/>
                <w:bCs/>
              </w:rPr>
            </w:pPr>
            <w:r>
              <w:rPr>
                <w:rFonts w:eastAsia="MS Mincho"/>
                <w:bCs/>
              </w:rPr>
              <w:t>5.3.5.3</w:t>
            </w:r>
            <w:r>
              <w:rPr>
                <w:rFonts w:eastAsia="MS Mincho"/>
                <w:bCs/>
              </w:rPr>
              <w:tab/>
            </w:r>
            <w:r>
              <w:rPr>
                <w:rFonts w:eastAsia="MS Mincho"/>
                <w:bCs/>
              </w:rPr>
              <w:t xml:space="preserve">Reception of an </w:t>
            </w:r>
            <w:r>
              <w:rPr>
                <w:rFonts w:eastAsia="MS Mincho"/>
                <w:bCs/>
                <w:i/>
                <w:iCs/>
              </w:rPr>
              <w:t>RRCReconfiguration</w:t>
            </w:r>
            <w:r>
              <w:rPr>
                <w:rFonts w:eastAsia="MS Mincho"/>
                <w:bCs/>
              </w:rPr>
              <w:t xml:space="preserve"> by the UE</w:t>
            </w:r>
          </w:p>
          <w:p>
            <w:pPr>
              <w:widowControl/>
              <w:overflowPunct w:val="0"/>
              <w:autoSpaceDE w:val="0"/>
              <w:autoSpaceDN w:val="0"/>
              <w:adjustRightInd w:val="0"/>
              <w:spacing w:after="180" w:line="240" w:lineRule="auto"/>
              <w:ind w:left="851" w:hanging="284"/>
              <w:jc w:val="left"/>
              <w:textAlignment w:val="baseline"/>
              <w:rPr>
                <w:rFonts w:eastAsia="Times New Roman"/>
                <w:color w:val="FF0000"/>
                <w:kern w:val="0"/>
                <w:sz w:val="20"/>
                <w:szCs w:val="20"/>
              </w:rPr>
            </w:pPr>
            <w:r>
              <w:rPr>
                <w:color w:val="FF0000"/>
                <w:kern w:val="0"/>
                <w:sz w:val="20"/>
                <w:szCs w:val="20"/>
              </w:rPr>
              <w:t>*//skip unrelated part//*</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rPr>
            </w:pPr>
            <w:r>
              <w:rPr>
                <w:rFonts w:eastAsia="Times New Roman"/>
                <w:kern w:val="0"/>
                <w:sz w:val="20"/>
                <w:szCs w:val="20"/>
              </w:rPr>
              <w:t>2&gt;</w:t>
            </w:r>
            <w:r>
              <w:rPr>
                <w:rFonts w:eastAsia="Times New Roman"/>
                <w:kern w:val="0"/>
                <w:sz w:val="20"/>
                <w:szCs w:val="20"/>
              </w:rPr>
              <w:tab/>
            </w:r>
            <w:r>
              <w:rPr>
                <w:rFonts w:eastAsia="Times New Roman"/>
                <w:kern w:val="0"/>
                <w:sz w:val="20"/>
                <w:szCs w:val="20"/>
              </w:rPr>
              <w:t xml:space="preserve">if the </w:t>
            </w:r>
            <w:r>
              <w:rPr>
                <w:rFonts w:eastAsia="Times New Roman"/>
                <w:i/>
                <w:iCs/>
                <w:kern w:val="0"/>
                <w:sz w:val="20"/>
                <w:szCs w:val="20"/>
              </w:rPr>
              <w:t>reconfigurationWithSync</w:t>
            </w:r>
            <w:r>
              <w:rPr>
                <w:rFonts w:eastAsia="Times New Roman"/>
                <w:kern w:val="0"/>
                <w:sz w:val="20"/>
                <w:szCs w:val="20"/>
              </w:rPr>
              <w:t xml:space="preserve"> was included in </w:t>
            </w:r>
            <w:r>
              <w:rPr>
                <w:rFonts w:eastAsia="Times New Roman"/>
                <w:i/>
                <w:iCs/>
                <w:kern w:val="0"/>
                <w:sz w:val="20"/>
                <w:szCs w:val="20"/>
              </w:rPr>
              <w:t>spCellConfig</w:t>
            </w:r>
            <w:r>
              <w:rPr>
                <w:rFonts w:eastAsia="Times New Roman"/>
                <w:kern w:val="0"/>
                <w:sz w:val="20"/>
                <w:szCs w:val="20"/>
              </w:rPr>
              <w:t xml:space="preserve"> of an MCG; or</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rPr>
            </w:pPr>
            <w:r>
              <w:rPr>
                <w:rFonts w:eastAsia="Times New Roman"/>
                <w:kern w:val="0"/>
                <w:sz w:val="20"/>
                <w:szCs w:val="20"/>
              </w:rPr>
              <w:t>2&gt;</w:t>
            </w:r>
            <w:r>
              <w:rPr>
                <w:rFonts w:eastAsia="Times New Roman"/>
                <w:kern w:val="0"/>
                <w:sz w:val="20"/>
                <w:szCs w:val="20"/>
              </w:rPr>
              <w:tab/>
            </w:r>
            <w:r>
              <w:rPr>
                <w:rFonts w:eastAsia="Times New Roman"/>
                <w:kern w:val="0"/>
                <w:sz w:val="20"/>
                <w:szCs w:val="20"/>
              </w:rPr>
              <w:t xml:space="preserve">if the </w:t>
            </w:r>
            <w:r>
              <w:rPr>
                <w:rFonts w:eastAsia="Times New Roman"/>
                <w:i/>
                <w:iCs/>
                <w:kern w:val="0"/>
                <w:sz w:val="20"/>
                <w:szCs w:val="20"/>
              </w:rPr>
              <w:t>reconfigurationWithSync</w:t>
            </w:r>
            <w:r>
              <w:rPr>
                <w:rFonts w:eastAsia="Times New Roman"/>
                <w:kern w:val="0"/>
                <w:sz w:val="20"/>
                <w:szCs w:val="20"/>
              </w:rPr>
              <w:t xml:space="preserve"> was included in </w:t>
            </w:r>
            <w:r>
              <w:rPr>
                <w:rFonts w:eastAsia="Times New Roman"/>
                <w:i/>
                <w:iCs/>
                <w:kern w:val="0"/>
                <w:sz w:val="20"/>
                <w:szCs w:val="20"/>
              </w:rPr>
              <w:t>spCellConfig</w:t>
            </w:r>
            <w:r>
              <w:rPr>
                <w:rFonts w:eastAsia="Times New Roman"/>
                <w:kern w:val="0"/>
                <w:sz w:val="20"/>
                <w:szCs w:val="20"/>
              </w:rPr>
              <w:t xml:space="preserve"> of an SCG and the CPA or CPC was configured</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highlight w:val="yellow"/>
              </w:rPr>
            </w:pPr>
            <w:r>
              <w:rPr>
                <w:rFonts w:eastAsia="Times New Roman"/>
                <w:kern w:val="0"/>
                <w:sz w:val="20"/>
                <w:szCs w:val="20"/>
                <w:highlight w:val="yellow"/>
              </w:rPr>
              <w:t>3&gt;</w:t>
            </w:r>
            <w:r>
              <w:rPr>
                <w:rFonts w:eastAsia="Times New Roman"/>
                <w:kern w:val="0"/>
                <w:sz w:val="20"/>
                <w:szCs w:val="20"/>
                <w:highlight w:val="yellow"/>
              </w:rPr>
              <w:tab/>
            </w:r>
            <w:r>
              <w:rPr>
                <w:rFonts w:eastAsia="Times New Roman"/>
                <w:kern w:val="0"/>
                <w:sz w:val="20"/>
                <w:szCs w:val="20"/>
                <w:highlight w:val="yellow"/>
              </w:rPr>
              <w:t xml:space="preserve">remove all the entries within </w:t>
            </w:r>
            <w:r>
              <w:rPr>
                <w:rFonts w:eastAsia="Times New Roman"/>
                <w:i/>
                <w:iCs/>
                <w:kern w:val="0"/>
                <w:sz w:val="20"/>
                <w:szCs w:val="20"/>
                <w:highlight w:val="yellow"/>
              </w:rPr>
              <w:t>VarConditionalReconfig</w:t>
            </w:r>
            <w:r>
              <w:rPr>
                <w:rFonts w:eastAsia="Times New Roman"/>
                <w:kern w:val="0"/>
                <w:sz w:val="20"/>
                <w:szCs w:val="20"/>
                <w:highlight w:val="yellow"/>
              </w:rPr>
              <w:t>, if any;</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highlight w:val="yellow"/>
              </w:rPr>
              <w:t>3&gt;</w:t>
            </w:r>
            <w:r>
              <w:rPr>
                <w:rFonts w:eastAsia="Times New Roman"/>
                <w:kern w:val="0"/>
                <w:sz w:val="20"/>
                <w:szCs w:val="20"/>
                <w:highlight w:val="yellow"/>
              </w:rPr>
              <w:tab/>
            </w:r>
            <w:r>
              <w:rPr>
                <w:rFonts w:eastAsia="Times New Roman"/>
                <w:kern w:val="0"/>
                <w:sz w:val="20"/>
                <w:szCs w:val="20"/>
                <w:highlight w:val="yellow"/>
              </w:rPr>
              <w:t xml:space="preserve">remove all the entries within </w:t>
            </w:r>
            <w:r>
              <w:rPr>
                <w:rFonts w:eastAsia="Times New Roman"/>
                <w:i/>
                <w:iCs/>
                <w:kern w:val="0"/>
                <w:sz w:val="20"/>
                <w:szCs w:val="20"/>
                <w:highlight w:val="yellow"/>
              </w:rPr>
              <w:t>VarConditionalReconfiguration</w:t>
            </w:r>
            <w:r>
              <w:rPr>
                <w:rFonts w:eastAsia="Times New Roman"/>
                <w:kern w:val="0"/>
                <w:sz w:val="20"/>
                <w:szCs w:val="20"/>
                <w:highlight w:val="yellow"/>
              </w:rPr>
              <w:t xml:space="preserve"> as specified in TS 36.331 [10], clause 5.3.5.9.6, if any;</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for each </w:t>
            </w:r>
            <w:r>
              <w:rPr>
                <w:rFonts w:eastAsia="Times New Roman"/>
                <w:i/>
                <w:iCs/>
                <w:kern w:val="0"/>
                <w:sz w:val="20"/>
                <w:szCs w:val="20"/>
              </w:rPr>
              <w:t>measId</w:t>
            </w:r>
            <w:r>
              <w:rPr>
                <w:rFonts w:eastAsia="Times New Roman"/>
                <w:kern w:val="0"/>
                <w:sz w:val="20"/>
                <w:szCs w:val="20"/>
              </w:rPr>
              <w:t xml:space="preserve"> of the MCG </w:t>
            </w:r>
            <w:r>
              <w:rPr>
                <w:rFonts w:eastAsia="Times New Roman"/>
                <w:i/>
                <w:iCs/>
                <w:kern w:val="0"/>
                <w:sz w:val="20"/>
                <w:szCs w:val="20"/>
              </w:rPr>
              <w:t>measConfig</w:t>
            </w:r>
            <w:r>
              <w:rPr>
                <w:rFonts w:eastAsia="Times New Roman"/>
                <w:kern w:val="0"/>
                <w:sz w:val="20"/>
                <w:szCs w:val="20"/>
              </w:rPr>
              <w:t xml:space="preserve">, if configured, and for each </w:t>
            </w:r>
            <w:r>
              <w:rPr>
                <w:rFonts w:eastAsia="Times New Roman"/>
                <w:i/>
                <w:iCs/>
                <w:kern w:val="0"/>
                <w:sz w:val="20"/>
                <w:szCs w:val="20"/>
              </w:rPr>
              <w:t>measId</w:t>
            </w:r>
            <w:r>
              <w:rPr>
                <w:rFonts w:eastAsia="Times New Roman"/>
                <w:kern w:val="0"/>
                <w:sz w:val="20"/>
                <w:szCs w:val="20"/>
              </w:rPr>
              <w:t xml:space="preserve"> of the SCG </w:t>
            </w:r>
            <w:r>
              <w:rPr>
                <w:rFonts w:eastAsia="Times New Roman"/>
                <w:i/>
                <w:iCs/>
                <w:kern w:val="0"/>
                <w:sz w:val="20"/>
                <w:szCs w:val="20"/>
              </w:rPr>
              <w:t>measConfig</w:t>
            </w:r>
            <w:r>
              <w:rPr>
                <w:rFonts w:eastAsia="Times New Roman"/>
                <w:kern w:val="0"/>
                <w:sz w:val="20"/>
                <w:szCs w:val="20"/>
              </w:rPr>
              <w:t xml:space="preserve">, if configured, if the associated </w:t>
            </w:r>
            <w:r>
              <w:rPr>
                <w:rFonts w:eastAsia="Times New Roman"/>
                <w:i/>
                <w:iCs/>
                <w:kern w:val="0"/>
                <w:sz w:val="20"/>
                <w:szCs w:val="20"/>
              </w:rPr>
              <w:t>reportConfig</w:t>
            </w:r>
            <w:r>
              <w:rPr>
                <w:rFonts w:eastAsia="Times New Roman"/>
                <w:kern w:val="0"/>
                <w:sz w:val="20"/>
                <w:szCs w:val="20"/>
              </w:rPr>
              <w:t xml:space="preserve"> has a </w:t>
            </w:r>
            <w:r>
              <w:rPr>
                <w:rFonts w:eastAsia="Times New Roman"/>
                <w:i/>
                <w:iCs/>
                <w:kern w:val="0"/>
                <w:sz w:val="20"/>
                <w:szCs w:val="20"/>
              </w:rPr>
              <w:t>reportType</w:t>
            </w:r>
            <w:r>
              <w:rPr>
                <w:rFonts w:eastAsia="Times New Roman"/>
                <w:kern w:val="0"/>
                <w:sz w:val="20"/>
                <w:szCs w:val="20"/>
              </w:rPr>
              <w:t xml:space="preserve"> set to </w:t>
            </w:r>
            <w:r>
              <w:rPr>
                <w:rFonts w:eastAsia="Times New Roman"/>
                <w:i/>
                <w:iCs/>
                <w:kern w:val="0"/>
                <w:sz w:val="20"/>
                <w:szCs w:val="20"/>
              </w:rPr>
              <w:t>condTriggerConfig</w:t>
            </w:r>
            <w:r>
              <w:rPr>
                <w:rFonts w:eastAsia="Times New Roman"/>
                <w:kern w:val="0"/>
                <w:sz w:val="20"/>
                <w:szCs w:val="20"/>
              </w:rPr>
              <w:t>:</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 xml:space="preserve">for the associated </w:t>
            </w:r>
            <w:r>
              <w:rPr>
                <w:rFonts w:eastAsia="Times New Roman"/>
                <w:i/>
                <w:iCs/>
                <w:kern w:val="0"/>
                <w:sz w:val="20"/>
                <w:szCs w:val="20"/>
              </w:rPr>
              <w:t>reportConfigId</w:t>
            </w:r>
            <w:r>
              <w:rPr>
                <w:rFonts w:eastAsia="Times New Roman"/>
                <w:kern w:val="0"/>
                <w:sz w:val="20"/>
                <w:szCs w:val="20"/>
              </w:rPr>
              <w:t>:</w:t>
            </w:r>
          </w:p>
          <w:p>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rPr>
            </w:pPr>
            <w:r>
              <w:rPr>
                <w:rFonts w:eastAsia="Times New Roman"/>
                <w:kern w:val="0"/>
                <w:sz w:val="20"/>
                <w:szCs w:val="20"/>
              </w:rPr>
              <w:t>5&gt;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reportConfigId</w:t>
            </w:r>
            <w:r>
              <w:rPr>
                <w:rFonts w:eastAsia="Times New Roman"/>
                <w:kern w:val="0"/>
                <w:sz w:val="20"/>
                <w:szCs w:val="20"/>
              </w:rPr>
              <w:t xml:space="preserve"> from the </w:t>
            </w:r>
            <w:r>
              <w:rPr>
                <w:rFonts w:eastAsia="Times New Roman"/>
                <w:i/>
                <w:iCs/>
                <w:kern w:val="0"/>
                <w:sz w:val="20"/>
                <w:szCs w:val="20"/>
              </w:rPr>
              <w:t>reportConfigList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 xml:space="preserve">if the associated </w:t>
            </w:r>
            <w:r>
              <w:rPr>
                <w:rFonts w:eastAsia="Times New Roman"/>
                <w:i/>
                <w:iCs/>
                <w:kern w:val="0"/>
                <w:sz w:val="20"/>
                <w:szCs w:val="20"/>
              </w:rPr>
              <w:t>measObjectId</w:t>
            </w:r>
            <w:r>
              <w:rPr>
                <w:rFonts w:eastAsia="Times New Roman"/>
                <w:kern w:val="0"/>
                <w:sz w:val="20"/>
                <w:szCs w:val="20"/>
              </w:rPr>
              <w:t xml:space="preserve"> is only associated to a </w:t>
            </w:r>
            <w:r>
              <w:rPr>
                <w:rFonts w:eastAsia="Times New Roman"/>
                <w:i/>
                <w:iCs/>
                <w:kern w:val="0"/>
                <w:sz w:val="20"/>
                <w:szCs w:val="20"/>
              </w:rPr>
              <w:t>reportConfig</w:t>
            </w:r>
            <w:r>
              <w:rPr>
                <w:rFonts w:eastAsia="Times New Roman"/>
                <w:kern w:val="0"/>
                <w:sz w:val="20"/>
                <w:szCs w:val="20"/>
              </w:rPr>
              <w:t xml:space="preserve"> with </w:t>
            </w:r>
            <w:r>
              <w:rPr>
                <w:rFonts w:eastAsia="Times New Roman"/>
                <w:i/>
                <w:iCs/>
                <w:kern w:val="0"/>
                <w:sz w:val="20"/>
                <w:szCs w:val="20"/>
              </w:rPr>
              <w:t>reportType</w:t>
            </w:r>
            <w:r>
              <w:rPr>
                <w:rFonts w:eastAsia="Times New Roman"/>
                <w:kern w:val="0"/>
                <w:sz w:val="20"/>
                <w:szCs w:val="20"/>
              </w:rPr>
              <w:t xml:space="preserve"> set to </w:t>
            </w:r>
            <w:r>
              <w:rPr>
                <w:rFonts w:eastAsia="Times New Roman"/>
                <w:i/>
                <w:iCs/>
                <w:kern w:val="0"/>
                <w:sz w:val="20"/>
                <w:szCs w:val="20"/>
              </w:rPr>
              <w:t>condTriggerConfig</w:t>
            </w:r>
            <w:r>
              <w:rPr>
                <w:rFonts w:eastAsia="Times New Roman"/>
                <w:kern w:val="0"/>
                <w:sz w:val="20"/>
                <w:szCs w:val="20"/>
              </w:rPr>
              <w:t>:</w:t>
            </w:r>
          </w:p>
          <w:p>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rPr>
            </w:pPr>
            <w:r>
              <w:rPr>
                <w:rFonts w:eastAsia="Times New Roman"/>
                <w:kern w:val="0"/>
                <w:sz w:val="20"/>
                <w:szCs w:val="20"/>
              </w:rPr>
              <w:t>5&gt;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measObjectId</w:t>
            </w:r>
            <w:r>
              <w:rPr>
                <w:rFonts w:eastAsia="Times New Roman"/>
                <w:kern w:val="0"/>
                <w:sz w:val="20"/>
                <w:szCs w:val="20"/>
              </w:rPr>
              <w:t xml:space="preserve"> from the </w:t>
            </w:r>
            <w:r>
              <w:rPr>
                <w:rFonts w:eastAsia="Times New Roman"/>
                <w:i/>
                <w:iCs/>
                <w:kern w:val="0"/>
                <w:sz w:val="20"/>
                <w:szCs w:val="20"/>
              </w:rPr>
              <w:t>measObjectList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measId</w:t>
            </w:r>
            <w:r>
              <w:rPr>
                <w:rFonts w:eastAsia="Times New Roman"/>
                <w:kern w:val="0"/>
                <w:sz w:val="20"/>
                <w:szCs w:val="20"/>
              </w:rPr>
              <w:t xml:space="preserve"> from the </w:t>
            </w:r>
            <w:r>
              <w:rPr>
                <w:rFonts w:eastAsia="Times New Roman"/>
                <w:i/>
                <w:iCs/>
                <w:kern w:val="0"/>
                <w:sz w:val="20"/>
                <w:szCs w:val="20"/>
              </w:rPr>
              <w:t>measIdList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tc>
      </w:tr>
    </w:tbl>
    <w:p>
      <w:pPr>
        <w:spacing w:before="120"/>
      </w:pPr>
      <w:r>
        <w:t xml:space="preserve">Upon the execution of MCG reconfiguration with sync (including CHO) or the execution of SCG reconfiguration with sync (including CPA/CPC) in case CPA or CPC was configured, both </w:t>
      </w:r>
      <w:r>
        <w:rPr>
          <w:i/>
        </w:rPr>
        <w:t>VarConditionalReconfig</w:t>
      </w:r>
      <w:r>
        <w:t xml:space="preserve"> and </w:t>
      </w:r>
      <w:r>
        <w:rPr>
          <w:i/>
        </w:rPr>
        <w:t>VarConditionalReconfiguration</w:t>
      </w:r>
      <w:r>
        <w:t xml:space="preserve"> shall be removed, if any.</w:t>
      </w:r>
    </w:p>
    <w:p>
      <w:pPr>
        <w:spacing w:before="120"/>
      </w:pPr>
      <w:r>
        <w:t>In the current LTE RRC spec [2], the conditional reconfiguration release has been captured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85"/>
              <w:rPr>
                <w:bCs/>
              </w:rPr>
            </w:pPr>
            <w:r>
              <w:rPr>
                <w:bCs/>
              </w:rPr>
              <w:t>5.3.5.4</w:t>
            </w:r>
            <w:r>
              <w:rPr>
                <w:bCs/>
              </w:rPr>
              <w:tab/>
            </w:r>
            <w:r>
              <w:rPr>
                <w:bCs/>
              </w:rPr>
              <w:t xml:space="preserve">Reception of an </w:t>
            </w:r>
            <w:r>
              <w:rPr>
                <w:bCs/>
                <w:i/>
                <w:iCs/>
              </w:rPr>
              <w:t>RRCConnectionReconfiguration</w:t>
            </w:r>
            <w:r>
              <w:rPr>
                <w:bCs/>
              </w:rPr>
              <w:t xml:space="preserve"> including the </w:t>
            </w:r>
            <w:r>
              <w:rPr>
                <w:bCs/>
                <w:i/>
                <w:iCs/>
              </w:rPr>
              <w:t xml:space="preserve">mobilityControlInfo </w:t>
            </w:r>
            <w:r>
              <w:rPr>
                <w:bCs/>
              </w:rPr>
              <w:t>by the UE (handover)</w:t>
            </w:r>
          </w:p>
          <w:p>
            <w:pPr>
              <w:widowControl/>
              <w:overflowPunct w:val="0"/>
              <w:autoSpaceDE w:val="0"/>
              <w:autoSpaceDN w:val="0"/>
              <w:adjustRightInd w:val="0"/>
              <w:spacing w:after="180" w:line="240" w:lineRule="auto"/>
              <w:ind w:left="851" w:hanging="284"/>
              <w:jc w:val="left"/>
              <w:textAlignment w:val="baseline"/>
              <w:rPr>
                <w:color w:val="FF0000"/>
                <w:kern w:val="0"/>
                <w:sz w:val="20"/>
                <w:szCs w:val="20"/>
              </w:rPr>
            </w:pPr>
            <w:r>
              <w:rPr>
                <w:color w:val="FF0000"/>
                <w:kern w:val="0"/>
                <w:sz w:val="20"/>
                <w:szCs w:val="20"/>
              </w:rPr>
              <w:t>*//skip unrelated part//*</w:t>
            </w:r>
          </w:p>
          <w:p>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rPr>
            </w:pPr>
            <w:r>
              <w:rPr>
                <w:rFonts w:eastAsia="Times New Roman"/>
                <w:kern w:val="0"/>
                <w:sz w:val="20"/>
                <w:szCs w:val="20"/>
              </w:rPr>
              <w:t>1&gt;</w:t>
            </w:r>
            <w:r>
              <w:rPr>
                <w:rFonts w:eastAsia="Times New Roman"/>
                <w:kern w:val="0"/>
                <w:sz w:val="20"/>
                <w:szCs w:val="20"/>
              </w:rPr>
              <w:tab/>
            </w:r>
            <w:r>
              <w:rPr>
                <w:rFonts w:eastAsia="Times New Roman"/>
                <w:kern w:val="0"/>
                <w:sz w:val="20"/>
                <w:szCs w:val="20"/>
              </w:rPr>
              <w:t>if MAC successfully completes the random access procedure; or</w:t>
            </w:r>
          </w:p>
          <w:p>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rPr>
            </w:pPr>
            <w:r>
              <w:rPr>
                <w:rFonts w:eastAsia="Times New Roman"/>
                <w:kern w:val="0"/>
                <w:sz w:val="20"/>
                <w:szCs w:val="20"/>
              </w:rPr>
              <w:t>1&gt;</w:t>
            </w:r>
            <w:r>
              <w:rPr>
                <w:rFonts w:eastAsia="Times New Roman"/>
                <w:kern w:val="0"/>
                <w:sz w:val="20"/>
                <w:szCs w:val="20"/>
              </w:rPr>
              <w:tab/>
            </w:r>
            <w:r>
              <w:rPr>
                <w:rFonts w:eastAsia="Times New Roman"/>
                <w:kern w:val="0"/>
                <w:sz w:val="20"/>
                <w:szCs w:val="20"/>
              </w:rPr>
              <w:t xml:space="preserve">if MAC indicates the successful reception of a PDCCH transmission addressed to C-RNTI and if </w:t>
            </w:r>
            <w:r>
              <w:rPr>
                <w:rFonts w:eastAsia="Times New Roman"/>
                <w:i/>
                <w:iCs/>
                <w:kern w:val="0"/>
                <w:sz w:val="20"/>
                <w:szCs w:val="20"/>
              </w:rPr>
              <w:t>rach-Skip</w:t>
            </w:r>
            <w:r>
              <w:rPr>
                <w:rFonts w:eastAsia="Times New Roman"/>
                <w:kern w:val="0"/>
                <w:sz w:val="20"/>
                <w:szCs w:val="20"/>
              </w:rPr>
              <w:t xml:space="preserve"> is configured:</w:t>
            </w:r>
          </w:p>
          <w:p>
            <w:pPr>
              <w:widowControl/>
              <w:overflowPunct w:val="0"/>
              <w:autoSpaceDE w:val="0"/>
              <w:autoSpaceDN w:val="0"/>
              <w:adjustRightInd w:val="0"/>
              <w:spacing w:after="180" w:line="240" w:lineRule="auto"/>
              <w:ind w:left="851" w:hanging="284"/>
              <w:jc w:val="left"/>
              <w:textAlignment w:val="baseline"/>
              <w:rPr>
                <w:color w:val="FF0000"/>
                <w:kern w:val="0"/>
                <w:sz w:val="20"/>
                <w:szCs w:val="20"/>
              </w:rPr>
            </w:pPr>
            <w:r>
              <w:rPr>
                <w:color w:val="FF0000"/>
                <w:kern w:val="0"/>
                <w:sz w:val="20"/>
                <w:szCs w:val="20"/>
              </w:rPr>
              <w:t>*//skip unrelated part//*</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highlight w:val="yellow"/>
              </w:rPr>
            </w:pPr>
            <w:r>
              <w:rPr>
                <w:rFonts w:eastAsia="Times New Roman"/>
                <w:kern w:val="0"/>
                <w:sz w:val="20"/>
                <w:szCs w:val="20"/>
                <w:highlight w:val="yellow"/>
              </w:rPr>
              <w:t>2&gt;</w:t>
            </w:r>
            <w:r>
              <w:rPr>
                <w:rFonts w:eastAsia="Times New Roman"/>
                <w:kern w:val="0"/>
                <w:sz w:val="20"/>
                <w:szCs w:val="20"/>
                <w:highlight w:val="yellow"/>
              </w:rPr>
              <w:tab/>
            </w:r>
            <w:r>
              <w:rPr>
                <w:rFonts w:eastAsia="Times New Roman"/>
                <w:kern w:val="0"/>
                <w:sz w:val="20"/>
                <w:szCs w:val="20"/>
                <w:highlight w:val="yellow"/>
              </w:rPr>
              <w:t xml:space="preserve">remove all the entries within </w:t>
            </w:r>
            <w:r>
              <w:rPr>
                <w:rFonts w:eastAsia="Times New Roman"/>
                <w:i/>
                <w:iCs/>
                <w:kern w:val="0"/>
                <w:sz w:val="20"/>
                <w:szCs w:val="20"/>
                <w:highlight w:val="yellow"/>
              </w:rPr>
              <w:t>VarConditionalReconfiguration</w:t>
            </w:r>
            <w:r>
              <w:rPr>
                <w:rFonts w:eastAsia="Times New Roman"/>
                <w:kern w:val="0"/>
                <w:sz w:val="20"/>
                <w:szCs w:val="20"/>
                <w:highlight w:val="yellow"/>
              </w:rPr>
              <w:t>, if any;</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rPr>
            </w:pPr>
            <w:r>
              <w:rPr>
                <w:rFonts w:eastAsia="Times New Roman"/>
                <w:kern w:val="0"/>
                <w:sz w:val="20"/>
                <w:szCs w:val="20"/>
              </w:rPr>
              <w:t>2&gt;</w:t>
            </w:r>
            <w:r>
              <w:rPr>
                <w:rFonts w:eastAsia="Times New Roman"/>
                <w:kern w:val="0"/>
                <w:sz w:val="20"/>
                <w:szCs w:val="20"/>
              </w:rPr>
              <w:tab/>
            </w:r>
            <w:r>
              <w:rPr>
                <w:rFonts w:eastAsia="Times New Roman"/>
                <w:kern w:val="0"/>
                <w:sz w:val="20"/>
                <w:szCs w:val="20"/>
              </w:rPr>
              <w:t xml:space="preserve">for each </w:t>
            </w:r>
            <w:r>
              <w:rPr>
                <w:rFonts w:eastAsia="Times New Roman"/>
                <w:i/>
                <w:iCs/>
                <w:kern w:val="0"/>
                <w:sz w:val="20"/>
                <w:szCs w:val="20"/>
              </w:rPr>
              <w:t>measId</w:t>
            </w:r>
            <w:r>
              <w:rPr>
                <w:rFonts w:eastAsia="Times New Roman"/>
                <w:kern w:val="0"/>
                <w:sz w:val="20"/>
                <w:szCs w:val="20"/>
              </w:rPr>
              <w:t xml:space="preserve">, if the associated </w:t>
            </w:r>
            <w:r>
              <w:rPr>
                <w:rFonts w:eastAsia="Times New Roman"/>
                <w:i/>
                <w:iCs/>
                <w:kern w:val="0"/>
                <w:sz w:val="20"/>
                <w:szCs w:val="20"/>
              </w:rPr>
              <w:t>reportConfig</w:t>
            </w:r>
            <w:r>
              <w:rPr>
                <w:rFonts w:eastAsia="Times New Roman"/>
                <w:kern w:val="0"/>
                <w:sz w:val="20"/>
                <w:szCs w:val="20"/>
              </w:rPr>
              <w:t xml:space="preserve"> is </w:t>
            </w:r>
            <w:r>
              <w:rPr>
                <w:rFonts w:eastAsia="Times New Roman"/>
                <w:i/>
                <w:iCs/>
                <w:kern w:val="0"/>
                <w:sz w:val="20"/>
                <w:szCs w:val="20"/>
              </w:rPr>
              <w:t>condReconfigurationTriggerEUTRA</w:t>
            </w:r>
            <w:r>
              <w:rPr>
                <w:rFonts w:eastAsia="Times New Roman"/>
                <w:kern w:val="0"/>
                <w:sz w:val="20"/>
                <w:szCs w:val="20"/>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measId</w:t>
            </w:r>
            <w:r>
              <w:rPr>
                <w:rFonts w:eastAsia="Times New Roman"/>
                <w:kern w:val="0"/>
                <w:sz w:val="20"/>
                <w:szCs w:val="20"/>
              </w:rPr>
              <w:t xml:space="preserve"> from the </w:t>
            </w:r>
            <w:r>
              <w:rPr>
                <w:rFonts w:eastAsia="Times New Roman"/>
                <w:i/>
                <w:iCs/>
                <w:kern w:val="0"/>
                <w:sz w:val="20"/>
                <w:szCs w:val="20"/>
              </w:rPr>
              <w:t>measIdList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reportConfigId</w:t>
            </w:r>
            <w:r>
              <w:rPr>
                <w:rFonts w:eastAsia="Times New Roman"/>
                <w:kern w:val="0"/>
                <w:sz w:val="20"/>
                <w:szCs w:val="20"/>
              </w:rPr>
              <w:t xml:space="preserve"> from the </w:t>
            </w:r>
            <w:r>
              <w:rPr>
                <w:rFonts w:eastAsia="Times New Roman"/>
                <w:i/>
                <w:iCs/>
                <w:kern w:val="0"/>
                <w:sz w:val="20"/>
                <w:szCs w:val="20"/>
              </w:rPr>
              <w:t>reportConfigList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if the </w:t>
            </w:r>
            <w:r>
              <w:rPr>
                <w:rFonts w:eastAsia="Times New Roman"/>
                <w:i/>
                <w:iCs/>
                <w:kern w:val="0"/>
                <w:sz w:val="20"/>
                <w:szCs w:val="20"/>
              </w:rPr>
              <w:t xml:space="preserve">measObjectId </w:t>
            </w:r>
            <w:r>
              <w:rPr>
                <w:rFonts w:eastAsia="Times New Roman"/>
                <w:kern w:val="0"/>
                <w:sz w:val="20"/>
                <w:szCs w:val="20"/>
              </w:rPr>
              <w:t xml:space="preserve">is only included in a </w:t>
            </w:r>
            <w:r>
              <w:rPr>
                <w:rFonts w:eastAsia="Times New Roman"/>
                <w:i/>
                <w:iCs/>
                <w:kern w:val="0"/>
                <w:sz w:val="20"/>
                <w:szCs w:val="20"/>
              </w:rPr>
              <w:t>MeasIdToAddMod</w:t>
            </w:r>
            <w:r>
              <w:rPr>
                <w:rFonts w:eastAsia="Times New Roman"/>
                <w:kern w:val="0"/>
                <w:sz w:val="20"/>
                <w:szCs w:val="20"/>
              </w:rPr>
              <w:t>:</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 xml:space="preserve">remove the entry with the matching </w:t>
            </w:r>
            <w:r>
              <w:rPr>
                <w:rFonts w:eastAsia="Times New Roman"/>
                <w:i/>
                <w:iCs/>
                <w:kern w:val="0"/>
                <w:sz w:val="20"/>
                <w:szCs w:val="20"/>
              </w:rPr>
              <w:t>measObjectId</w:t>
            </w:r>
            <w:r>
              <w:rPr>
                <w:rFonts w:eastAsia="Times New Roman"/>
                <w:kern w:val="0"/>
                <w:sz w:val="20"/>
                <w:szCs w:val="20"/>
              </w:rPr>
              <w:t xml:space="preserve"> from the </w:t>
            </w:r>
            <w:r>
              <w:rPr>
                <w:rFonts w:eastAsia="Times New Roman"/>
                <w:i/>
                <w:iCs/>
                <w:kern w:val="0"/>
                <w:sz w:val="20"/>
                <w:szCs w:val="20"/>
              </w:rPr>
              <w:t>measObjectList</w:t>
            </w:r>
            <w:r>
              <w:rPr>
                <w:rFonts w:eastAsia="Times New Roman"/>
                <w:kern w:val="0"/>
                <w:sz w:val="20"/>
                <w:szCs w:val="20"/>
              </w:rPr>
              <w:t xml:space="preserve"> within the </w:t>
            </w:r>
            <w:r>
              <w:rPr>
                <w:rFonts w:eastAsia="Times New Roman"/>
                <w:i/>
                <w:iCs/>
                <w:kern w:val="0"/>
                <w:sz w:val="20"/>
                <w:szCs w:val="20"/>
              </w:rPr>
              <w:t>VarMeasConfig</w:t>
            </w:r>
            <w:r>
              <w:rPr>
                <w:rFonts w:eastAsia="Times New Roman"/>
                <w:kern w:val="0"/>
                <w:sz w:val="20"/>
                <w:szCs w:val="20"/>
              </w:rPr>
              <w:t>;</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rPr>
            </w:pPr>
            <w:r>
              <w:rPr>
                <w:rFonts w:eastAsia="Times New Roman"/>
                <w:kern w:val="0"/>
                <w:sz w:val="20"/>
                <w:szCs w:val="20"/>
              </w:rPr>
              <w:t>2&gt;</w:t>
            </w:r>
            <w:r>
              <w:rPr>
                <w:rFonts w:eastAsia="Times New Roman"/>
                <w:kern w:val="0"/>
                <w:sz w:val="20"/>
                <w:szCs w:val="20"/>
              </w:rPr>
              <w:tab/>
            </w:r>
            <w:r>
              <w:rPr>
                <w:rFonts w:eastAsia="Times New Roman"/>
                <w:kern w:val="0"/>
                <w:sz w:val="20"/>
                <w:szCs w:val="20"/>
              </w:rPr>
              <w:t>the procedure ends;</w:t>
            </w:r>
          </w:p>
        </w:tc>
      </w:tr>
    </w:tbl>
    <w:p>
      <w:pPr>
        <w:spacing w:before="120"/>
      </w:pPr>
      <w:r>
        <w:t xml:space="preserve">Upon the execution of HO (including CHO), the </w:t>
      </w:r>
      <w:r>
        <w:rPr>
          <w:i/>
        </w:rPr>
        <w:t>VarConditionalReconfiguration</w:t>
      </w:r>
      <w:r>
        <w:t xml:space="preserve"> shall be removed. However, in case that CHO and SN initiated intra-SN CPC without MN involvement (R16 CPC) were configured simultaneously, the UE should also release the </w:t>
      </w:r>
      <w:r>
        <w:rPr>
          <w:i/>
        </w:rPr>
        <w:t>VarConditionalReconfig</w:t>
      </w:r>
      <w:r>
        <w:t xml:space="preserve"> specified in TS 38.331 for intra-SN CPC release. This has not been captured in the current LTE spec.</w:t>
      </w:r>
    </w:p>
    <w:p>
      <w:pPr>
        <w:spacing w:before="120"/>
        <w:rPr>
          <w:i/>
        </w:rPr>
      </w:pPr>
      <w:r>
        <w:rPr>
          <w:i/>
        </w:rPr>
        <w:t>Observation 3: In case that CHO and intra-SN CPC without MN involvement (R16 CPC) are configured simultaneously in EN-DC, the execution of CHO should also trigger the release of VarConditionalReconfig specified in TS 38.331 for R16 CPC. This has not been captured in the current LTE spec.</w:t>
      </w:r>
    </w:p>
    <w:p>
      <w:pPr>
        <w:rPr>
          <w:bCs/>
          <w:szCs w:val="21"/>
        </w:rPr>
      </w:pPr>
      <w:r>
        <w:rPr>
          <w:bCs/>
          <w:szCs w:val="21"/>
        </w:rPr>
        <w:t xml:space="preserve">In order to align with the agreement and the NR RRC handling, we propose to capture the </w:t>
      </w:r>
      <w:r>
        <w:rPr>
          <w:i/>
        </w:rPr>
        <w:t>VarConditionalReconfig</w:t>
      </w:r>
      <w:r>
        <w:t xml:space="preserve"> release in LTE upon CHO execution.</w:t>
      </w:r>
    </w:p>
    <w:p>
      <w:pPr>
        <w:rPr>
          <w:b/>
          <w:bCs/>
          <w:szCs w:val="21"/>
        </w:rPr>
      </w:pPr>
      <w:r>
        <w:rPr>
          <w:b/>
          <w:bCs/>
          <w:szCs w:val="21"/>
        </w:rPr>
        <w:t xml:space="preserve">Proposal 1: Upon CHO execution in LTE, the UE shall remove the </w:t>
      </w:r>
      <w:r>
        <w:rPr>
          <w:b/>
          <w:bCs/>
          <w:i/>
          <w:szCs w:val="21"/>
        </w:rPr>
        <w:t>VarConditionalReconfig</w:t>
      </w:r>
      <w:r>
        <w:rPr>
          <w:b/>
          <w:bCs/>
          <w:szCs w:val="21"/>
        </w:rPr>
        <w:t xml:space="preserve"> as specified in TS 38.331 for intra-SN CPC without MN involvement, if any. </w:t>
      </w:r>
    </w:p>
    <w:p>
      <w:pPr>
        <w:rPr>
          <w:bCs/>
          <w:szCs w:val="21"/>
        </w:rPr>
      </w:pPr>
      <w:r>
        <w:rPr>
          <w:bCs/>
          <w:szCs w:val="21"/>
        </w:rPr>
        <w:t xml:space="preserve">Since the detailed handing of </w:t>
      </w:r>
      <w:r>
        <w:rPr>
          <w:bCs/>
          <w:i/>
          <w:szCs w:val="21"/>
        </w:rPr>
        <w:t>VarConditionalReconfig</w:t>
      </w:r>
      <w:r>
        <w:rPr>
          <w:bCs/>
          <w:szCs w:val="21"/>
        </w:rPr>
        <w:t xml:space="preserve"> release should be specified in TS 38.331, a new section for the </w:t>
      </w:r>
      <w:r>
        <w:rPr>
          <w:bCs/>
          <w:i/>
          <w:szCs w:val="21"/>
        </w:rPr>
        <w:t>VarConditionalReconfig</w:t>
      </w:r>
      <w:r>
        <w:rPr>
          <w:bCs/>
          <w:szCs w:val="21"/>
        </w:rPr>
        <w:t xml:space="preserve"> remove shall be introduced in the NR RRC spec, as the VarConditionalReconfiguration remove (i.e. section 5.3.5.9.6) in the LTE RRC spec. Then, the release of </w:t>
      </w:r>
      <w:r>
        <w:rPr>
          <w:bCs/>
          <w:i/>
          <w:szCs w:val="21"/>
        </w:rPr>
        <w:t>VarConditionalReconfig</w:t>
      </w:r>
      <w:r>
        <w:rPr>
          <w:bCs/>
          <w:szCs w:val="21"/>
        </w:rPr>
        <w:t xml:space="preserve"> upon CHO execution in LTE can refer to the new section in NR RRC spec.</w:t>
      </w:r>
    </w:p>
    <w:p>
      <w:pPr>
        <w:rPr>
          <w:b/>
          <w:bCs/>
          <w:szCs w:val="21"/>
        </w:rPr>
      </w:pPr>
      <w:r>
        <w:rPr>
          <w:b/>
          <w:bCs/>
          <w:szCs w:val="21"/>
        </w:rPr>
        <w:t xml:space="preserve">Proposal 2: Introduce a new section for </w:t>
      </w:r>
      <w:r>
        <w:rPr>
          <w:b/>
          <w:bCs/>
          <w:i/>
          <w:szCs w:val="21"/>
        </w:rPr>
        <w:t>VarConditionalReconfig</w:t>
      </w:r>
      <w:r>
        <w:rPr>
          <w:b/>
          <w:bCs/>
          <w:szCs w:val="21"/>
        </w:rPr>
        <w:t xml:space="preserve"> remove in TS 38.331, as the </w:t>
      </w:r>
      <w:r>
        <w:rPr>
          <w:b/>
          <w:bCs/>
          <w:i/>
          <w:szCs w:val="21"/>
        </w:rPr>
        <w:t>VarConditionalReconfiguration</w:t>
      </w:r>
      <w:r>
        <w:rPr>
          <w:b/>
          <w:bCs/>
          <w:szCs w:val="21"/>
        </w:rPr>
        <w:t xml:space="preserve"> remove specified in TS 36.331.</w:t>
      </w:r>
    </w:p>
    <w:p>
      <w:pPr>
        <w:rPr>
          <w:bCs/>
          <w:szCs w:val="21"/>
        </w:rPr>
      </w:pPr>
      <w:r>
        <w:rPr>
          <w:bCs/>
          <w:szCs w:val="21"/>
        </w:rPr>
        <w:t xml:space="preserve">Based on proposals above, the CRs on conditional reconfiguration release for LTE RRC spec and NR RRC spec are provided in [4] and [5], respectively. </w:t>
      </w:r>
    </w:p>
    <w:p>
      <w:pPr>
        <w:rPr>
          <w:b/>
          <w:bCs/>
          <w:szCs w:val="21"/>
        </w:rPr>
      </w:pPr>
      <w:r>
        <w:rPr>
          <w:b/>
          <w:bCs/>
          <w:szCs w:val="21"/>
        </w:rPr>
        <w:t>Proposal 3: RAN2 agree the CRs on conditional reconfiguration release for LTE RRC spec and NR RRC spec in [4] and [5].</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discussed </w:t>
      </w:r>
      <w:r>
        <w:t>the conditional reconfiguration release</w:t>
      </w:r>
      <w:r>
        <w:rPr>
          <w:rFonts w:hint="eastAsia"/>
        </w:rPr>
        <w:t xml:space="preserve"> with the following observations and proposals:</w:t>
      </w:r>
    </w:p>
    <w:p>
      <w:pPr>
        <w:spacing w:before="120"/>
        <w:rPr>
          <w:i/>
        </w:rPr>
      </w:pPr>
      <w:r>
        <w:rPr>
          <w:i/>
        </w:rPr>
        <w:t xml:space="preserve">Observation 1: The VarConditionalReconfig specified in TS 38.331 is used to store the conditional reconfiguration for CHO in NR SA/NR-DC/NE-DC, CPA or inter-SN CPC in NR-DC, or intra-SN CPC without MN involvement in NR-DC/EN-DC. </w:t>
      </w:r>
    </w:p>
    <w:p>
      <w:pPr>
        <w:spacing w:before="120"/>
        <w:rPr>
          <w:i/>
        </w:rPr>
      </w:pPr>
      <w:r>
        <w:rPr>
          <w:i/>
        </w:rPr>
        <w:t>Observation 2: The VarConditionalReconfiguration specified in TS 36.331 is used to store the conditional reconfiguration for CHO in LTE SA/EN-DC, CPA or inter-SN CPC in EN-DC.</w:t>
      </w:r>
    </w:p>
    <w:p>
      <w:pPr>
        <w:spacing w:before="120"/>
        <w:rPr>
          <w:i/>
        </w:rPr>
      </w:pPr>
      <w:r>
        <w:rPr>
          <w:i/>
        </w:rPr>
        <w:t>Observation 3: In case that CHO and intra-SN CPC without MN involvement (R16 CPC) are configured simultaneously in EN-DC, the execution of CHO should also trigger the release of VarConditionalReconfig specified in TS 38.331 for R16 CPC. This has not been captured in the current LTE spec.</w:t>
      </w:r>
    </w:p>
    <w:p>
      <w:pPr>
        <w:rPr>
          <w:b/>
          <w:bCs/>
          <w:szCs w:val="21"/>
        </w:rPr>
      </w:pPr>
      <w:r>
        <w:rPr>
          <w:b/>
          <w:bCs/>
          <w:szCs w:val="21"/>
        </w:rPr>
        <w:t xml:space="preserve">Proposal 1: Upon CHO execution in LTE, the UE shall remove the </w:t>
      </w:r>
      <w:r>
        <w:rPr>
          <w:b/>
          <w:bCs/>
          <w:i/>
          <w:szCs w:val="21"/>
        </w:rPr>
        <w:t>VarConditionalReconfig</w:t>
      </w:r>
      <w:r>
        <w:rPr>
          <w:b/>
          <w:bCs/>
          <w:szCs w:val="21"/>
        </w:rPr>
        <w:t xml:space="preserve"> as specified in TS 38.331 for intra-SN CPC without MN involvement, if any. </w:t>
      </w:r>
    </w:p>
    <w:p>
      <w:pPr>
        <w:rPr>
          <w:b/>
          <w:bCs/>
          <w:szCs w:val="21"/>
        </w:rPr>
      </w:pPr>
      <w:r>
        <w:rPr>
          <w:b/>
          <w:bCs/>
          <w:szCs w:val="21"/>
        </w:rPr>
        <w:t xml:space="preserve">Proposal 2: Introduce a new section for </w:t>
      </w:r>
      <w:r>
        <w:rPr>
          <w:b/>
          <w:bCs/>
          <w:i/>
          <w:szCs w:val="21"/>
        </w:rPr>
        <w:t>VarConditionalReconfig</w:t>
      </w:r>
      <w:r>
        <w:rPr>
          <w:b/>
          <w:bCs/>
          <w:szCs w:val="21"/>
        </w:rPr>
        <w:t xml:space="preserve"> remove in TS 38.331, as the </w:t>
      </w:r>
      <w:r>
        <w:rPr>
          <w:b/>
          <w:bCs/>
          <w:i/>
          <w:szCs w:val="21"/>
        </w:rPr>
        <w:t>VarConditionalReconfiguration</w:t>
      </w:r>
      <w:r>
        <w:rPr>
          <w:b/>
          <w:bCs/>
          <w:szCs w:val="21"/>
        </w:rPr>
        <w:t xml:space="preserve"> remove specified in TS 36.331.</w:t>
      </w:r>
    </w:p>
    <w:p>
      <w:pPr>
        <w:rPr>
          <w:b/>
          <w:bCs/>
          <w:szCs w:val="21"/>
        </w:rPr>
      </w:pPr>
      <w:r>
        <w:rPr>
          <w:b/>
          <w:bCs/>
          <w:szCs w:val="21"/>
        </w:rPr>
        <w:t>Proposal 3: RAN2 agree the CRs on conditional reconfiguration release for LTE RRC spec and NR RRC spec in [4] and [5].</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overflowPunct w:val="0"/>
        <w:autoSpaceDE w:val="0"/>
        <w:autoSpaceDN w:val="0"/>
        <w:adjustRightInd w:val="0"/>
        <w:textAlignment w:val="baseline"/>
      </w:pPr>
      <w:bookmarkStart w:id="3" w:name="_Ref71222056"/>
      <w:r>
        <w:rPr>
          <w:rFonts w:hint="eastAsia"/>
        </w:rPr>
        <w:t>R</w:t>
      </w:r>
      <w:r>
        <w:t>AN2#118e Chair notes</w:t>
      </w:r>
    </w:p>
    <w:p>
      <w:pPr>
        <w:numPr>
          <w:ilvl w:val="0"/>
          <w:numId w:val="5"/>
        </w:numPr>
        <w:overflowPunct w:val="0"/>
        <w:autoSpaceDE w:val="0"/>
        <w:autoSpaceDN w:val="0"/>
        <w:adjustRightInd w:val="0"/>
        <w:textAlignment w:val="baseline"/>
      </w:pPr>
      <w:r>
        <w:t xml:space="preserve">3GPP TS 38.331: "NR; Radio Resource Control (RRC) protocol specification" v17.1.0. </w:t>
      </w:r>
    </w:p>
    <w:p>
      <w:pPr>
        <w:numPr>
          <w:ilvl w:val="0"/>
          <w:numId w:val="5"/>
        </w:numPr>
        <w:overflowPunct w:val="0"/>
        <w:autoSpaceDE w:val="0"/>
        <w:autoSpaceDN w:val="0"/>
        <w:adjustRightInd w:val="0"/>
        <w:textAlignment w:val="baseline"/>
      </w:pPr>
      <w:r>
        <w:t>3GPP TS 36.33</w:t>
      </w:r>
      <w:bookmarkStart w:id="4" w:name="_GoBack"/>
      <w:bookmarkEnd w:id="4"/>
      <w:r>
        <w:t>1: "E-UTRA; Radio Resource Control (RRC) protocol specification" v17.1.0.</w:t>
      </w:r>
    </w:p>
    <w:p>
      <w:pPr>
        <w:numPr>
          <w:ilvl w:val="0"/>
          <w:numId w:val="5"/>
        </w:numPr>
        <w:overflowPunct w:val="0"/>
        <w:autoSpaceDE w:val="0"/>
        <w:autoSpaceDN w:val="0"/>
        <w:adjustRightInd w:val="0"/>
        <w:textAlignment w:val="baseline"/>
      </w:pPr>
      <w:r>
        <w:t>R2-22</w:t>
      </w:r>
      <w:r>
        <w:rPr>
          <w:rFonts w:hint="eastAsia"/>
          <w:lang w:val="en-US" w:eastAsia="zh-CN"/>
        </w:rPr>
        <w:t>08407</w:t>
      </w:r>
      <w:r>
        <w:t xml:space="preserve">  CR on conditional reconfiguration release  ZTE Corporation, Sanechips</w:t>
      </w:r>
      <w:r>
        <w:tab/>
      </w:r>
      <w:r>
        <w:t>CR</w:t>
      </w:r>
      <w:r>
        <w:tab/>
      </w:r>
      <w:r>
        <w:t>Rel-17</w:t>
      </w:r>
      <w:r>
        <w:rPr>
          <w:rFonts w:hint="eastAsia"/>
          <w:lang w:val="en-US" w:eastAsia="zh-CN"/>
        </w:rPr>
        <w:t xml:space="preserve"> </w:t>
      </w:r>
      <w:r>
        <w:t>36.331</w:t>
      </w:r>
      <w:r>
        <w:tab/>
      </w:r>
      <w:r>
        <w:t>17.1.0</w:t>
      </w:r>
    </w:p>
    <w:p>
      <w:pPr>
        <w:numPr>
          <w:ilvl w:val="0"/>
          <w:numId w:val="5"/>
        </w:numPr>
        <w:overflowPunct w:val="0"/>
        <w:autoSpaceDE w:val="0"/>
        <w:autoSpaceDN w:val="0"/>
        <w:adjustRightInd w:val="0"/>
        <w:textAlignment w:val="baseline"/>
      </w:pPr>
      <w:r>
        <w:t>R2-22</w:t>
      </w:r>
      <w:r>
        <w:rPr>
          <w:rFonts w:hint="eastAsia"/>
          <w:lang w:val="en-US" w:eastAsia="zh-CN"/>
        </w:rPr>
        <w:t>08408</w:t>
      </w:r>
      <w:r>
        <w:t xml:space="preserve">  CR on conditional reconfiguration release  ZTE Corporation, Sanechips</w:t>
      </w:r>
      <w:r>
        <w:tab/>
      </w:r>
      <w:r>
        <w:t>CR</w:t>
      </w:r>
      <w:r>
        <w:tab/>
      </w:r>
      <w:r>
        <w:t>Rel-17</w:t>
      </w:r>
      <w:r>
        <w:rPr>
          <w:rFonts w:hint="eastAsia"/>
          <w:lang w:val="en-US" w:eastAsia="zh-CN"/>
        </w:rPr>
        <w:t xml:space="preserve"> </w:t>
      </w:r>
      <w:r>
        <w:t>38.331</w:t>
      </w:r>
      <w:r>
        <w:tab/>
      </w:r>
      <w:r>
        <w:t>17.1.0</w:t>
      </w:r>
    </w:p>
    <w:p>
      <w:pPr>
        <w:tabs>
          <w:tab w:val="left" w:pos="360"/>
        </w:tabs>
        <w:overflowPunct w:val="0"/>
        <w:autoSpaceDE w:val="0"/>
        <w:autoSpaceDN w:val="0"/>
        <w:adjustRightInd w:val="0"/>
        <w:ind w:left="357"/>
        <w:textAlignment w:val="baseline"/>
      </w:pPr>
    </w:p>
    <w:bookmarkEnd w:id="3"/>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8677544"/>
    <w:multiLevelType w:val="multilevel"/>
    <w:tmpl w:val="08677544"/>
    <w:lvl w:ilvl="0" w:tentative="0">
      <w:start w:val="1"/>
      <w:numFmt w:val="bullet"/>
      <w:lvlText w:val=""/>
      <w:lvlJc w:val="left"/>
      <w:pPr>
        <w:tabs>
          <w:tab w:val="left" w:pos="1200"/>
        </w:tabs>
        <w:ind w:left="1200" w:hanging="360"/>
      </w:pPr>
      <w:rPr>
        <w:rFonts w:hint="default" w:ascii="Symbol" w:hAnsi="Symbol"/>
        <w:b/>
        <w:bCs/>
        <w:i w:val="0"/>
        <w:iCs w:val="0"/>
        <w:sz w:val="22"/>
        <w:szCs w:val="22"/>
      </w:rPr>
    </w:lvl>
    <w:lvl w:ilvl="1" w:tentative="0">
      <w:start w:val="1"/>
      <w:numFmt w:val="bullet"/>
      <w:lvlText w:val="o"/>
      <w:lvlJc w:val="left"/>
      <w:pPr>
        <w:tabs>
          <w:tab w:val="left" w:pos="1021"/>
        </w:tabs>
        <w:ind w:left="1021" w:hanging="360"/>
      </w:pPr>
      <w:rPr>
        <w:rFonts w:hint="default" w:ascii="Courier New" w:hAnsi="Courier New" w:cs="Courier New"/>
      </w:rPr>
    </w:lvl>
    <w:lvl w:ilvl="2" w:tentative="0">
      <w:start w:val="1"/>
      <w:numFmt w:val="bullet"/>
      <w:lvlText w:val=""/>
      <w:lvlJc w:val="left"/>
      <w:pPr>
        <w:tabs>
          <w:tab w:val="left" w:pos="1741"/>
        </w:tabs>
        <w:ind w:left="1741" w:hanging="360"/>
      </w:pPr>
      <w:rPr>
        <w:rFonts w:hint="default" w:ascii="Wingdings" w:hAnsi="Wingdings"/>
      </w:rPr>
    </w:lvl>
    <w:lvl w:ilvl="3" w:tentative="0">
      <w:start w:val="1"/>
      <w:numFmt w:val="bullet"/>
      <w:lvlText w:val=""/>
      <w:lvlJc w:val="left"/>
      <w:pPr>
        <w:tabs>
          <w:tab w:val="left" w:pos="2461"/>
        </w:tabs>
        <w:ind w:left="2461" w:hanging="360"/>
      </w:pPr>
      <w:rPr>
        <w:rFonts w:hint="default" w:ascii="Symbol" w:hAnsi="Symbol"/>
      </w:rPr>
    </w:lvl>
    <w:lvl w:ilvl="4" w:tentative="0">
      <w:start w:val="1"/>
      <w:numFmt w:val="bullet"/>
      <w:lvlText w:val="o"/>
      <w:lvlJc w:val="left"/>
      <w:pPr>
        <w:tabs>
          <w:tab w:val="left" w:pos="3181"/>
        </w:tabs>
        <w:ind w:left="3181" w:hanging="360"/>
      </w:pPr>
      <w:rPr>
        <w:rFonts w:hint="default" w:ascii="Courier New" w:hAnsi="Courier New" w:cs="Courier New"/>
      </w:rPr>
    </w:lvl>
    <w:lvl w:ilvl="5" w:tentative="0">
      <w:start w:val="1"/>
      <w:numFmt w:val="bullet"/>
      <w:lvlText w:val=""/>
      <w:lvlJc w:val="left"/>
      <w:pPr>
        <w:tabs>
          <w:tab w:val="left" w:pos="3901"/>
        </w:tabs>
        <w:ind w:left="3901" w:hanging="360"/>
      </w:pPr>
      <w:rPr>
        <w:rFonts w:hint="default" w:ascii="Wingdings" w:hAnsi="Wingdings"/>
      </w:rPr>
    </w:lvl>
    <w:lvl w:ilvl="6" w:tentative="0">
      <w:start w:val="1"/>
      <w:numFmt w:val="bullet"/>
      <w:lvlText w:val=""/>
      <w:lvlJc w:val="left"/>
      <w:pPr>
        <w:tabs>
          <w:tab w:val="left" w:pos="4621"/>
        </w:tabs>
        <w:ind w:left="4621" w:hanging="360"/>
      </w:pPr>
      <w:rPr>
        <w:rFonts w:hint="default" w:ascii="Symbol" w:hAnsi="Symbol"/>
      </w:rPr>
    </w:lvl>
    <w:lvl w:ilvl="7" w:tentative="0">
      <w:start w:val="1"/>
      <w:numFmt w:val="bullet"/>
      <w:lvlText w:val="o"/>
      <w:lvlJc w:val="left"/>
      <w:pPr>
        <w:tabs>
          <w:tab w:val="left" w:pos="5341"/>
        </w:tabs>
        <w:ind w:left="5341" w:hanging="360"/>
      </w:pPr>
      <w:rPr>
        <w:rFonts w:hint="default" w:ascii="Courier New" w:hAnsi="Courier New" w:cs="Courier New"/>
      </w:rPr>
    </w:lvl>
    <w:lvl w:ilvl="8" w:tentative="0">
      <w:start w:val="1"/>
      <w:numFmt w:val="bullet"/>
      <w:lvlText w:val=""/>
      <w:lvlJc w:val="left"/>
      <w:pPr>
        <w:tabs>
          <w:tab w:val="left" w:pos="6061"/>
        </w:tabs>
        <w:ind w:left="6061" w:hanging="36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B6D"/>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6C7D"/>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FE0"/>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41FD"/>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655"/>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FEE"/>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342"/>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516A"/>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3DB5"/>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12D2"/>
    <w:rsid w:val="007C2A0A"/>
    <w:rsid w:val="007C33E4"/>
    <w:rsid w:val="007C40BD"/>
    <w:rsid w:val="007C41B3"/>
    <w:rsid w:val="007C44F4"/>
    <w:rsid w:val="007D2587"/>
    <w:rsid w:val="007D36F2"/>
    <w:rsid w:val="007D526D"/>
    <w:rsid w:val="007D5A25"/>
    <w:rsid w:val="007E0F24"/>
    <w:rsid w:val="007E17B1"/>
    <w:rsid w:val="007E2288"/>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77DDB"/>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6CB7"/>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4D49"/>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1AD5"/>
    <w:rsid w:val="00B82234"/>
    <w:rsid w:val="00B8283E"/>
    <w:rsid w:val="00B837AA"/>
    <w:rsid w:val="00B87D03"/>
    <w:rsid w:val="00B909E8"/>
    <w:rsid w:val="00B928EE"/>
    <w:rsid w:val="00B92AD5"/>
    <w:rsid w:val="00B94BA4"/>
    <w:rsid w:val="00B97DB5"/>
    <w:rsid w:val="00BA11AD"/>
    <w:rsid w:val="00BA2E0A"/>
    <w:rsid w:val="00BA37D3"/>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49AE"/>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2AFE"/>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4282E"/>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572A8F"/>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BB5EA9"/>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line="259" w:lineRule="auto"/>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标题 42"/>
    <w:basedOn w:val="1"/>
    <w:next w:val="1"/>
    <w:qFormat/>
    <w:uiPriority w:val="0"/>
    <w:pPr>
      <w:keepNext/>
      <w:keepLines/>
      <w:overflowPunct w:val="0"/>
      <w:autoSpaceDE w:val="0"/>
      <w:autoSpaceDN w:val="0"/>
      <w:adjustRightInd w:val="0"/>
      <w:spacing w:before="120" w:after="180" w:line="240" w:lineRule="auto"/>
      <w:ind w:left="1418" w:hanging="1418"/>
      <w:jc w:val="left"/>
      <w:textAlignment w:val="baseline"/>
      <w:outlineLvl w:val="3"/>
    </w:pPr>
    <w:rPr>
      <w:rFonts w:ascii="Arial" w:hAnsi="Arial" w:eastAsia="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2D8E4B-DDC6-475F-A2AE-08A20C8C214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1189</Words>
  <Characters>6778</Characters>
  <Lines>56</Lines>
  <Paragraphs>15</Paragraphs>
  <TotalTime>110</TotalTime>
  <ScaleCrop>false</ScaleCrop>
  <LinksUpToDate>false</LinksUpToDate>
  <CharactersWithSpaces>7952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2022-08-10T07:14:39Z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